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2D8A22" w14:textId="48DCBF32" w:rsidR="00184AD7" w:rsidRDefault="00CD03F3" w:rsidP="00CD03F3">
      <w:pPr>
        <w:jc w:val="center"/>
        <w:rPr>
          <w:b/>
          <w:bCs/>
          <w:sz w:val="28"/>
          <w:szCs w:val="28"/>
          <w:u w:val="single"/>
        </w:rPr>
      </w:pPr>
      <w:r w:rsidRPr="00CD03F3">
        <w:rPr>
          <w:b/>
          <w:bCs/>
          <w:sz w:val="28"/>
          <w:szCs w:val="28"/>
          <w:u w:val="single"/>
        </w:rPr>
        <w:t>Chapter 3</w:t>
      </w:r>
    </w:p>
    <w:p w14:paraId="579FCA96" w14:textId="282BCC23" w:rsidR="00CD03F3" w:rsidRDefault="00CD03F3" w:rsidP="00CD03F3">
      <w:pPr>
        <w:jc w:val="center"/>
        <w:rPr>
          <w:b/>
          <w:bCs/>
          <w:sz w:val="28"/>
          <w:szCs w:val="28"/>
          <w:u w:val="single"/>
        </w:rPr>
      </w:pPr>
    </w:p>
    <w:p w14:paraId="2A2E4BBA" w14:textId="77777777" w:rsidR="006F311B" w:rsidRPr="00514293" w:rsidRDefault="006F311B" w:rsidP="006F311B">
      <w:pPr>
        <w:pStyle w:val="ListParagraph"/>
        <w:numPr>
          <w:ilvl w:val="0"/>
          <w:numId w:val="1"/>
        </w:numPr>
        <w:spacing w:after="0" w:line="240" w:lineRule="auto"/>
        <w:rPr>
          <w:rFonts w:ascii="Times New Roman" w:eastAsia="Times New Roman" w:hAnsi="Times New Roman" w:cs="Times New Roman"/>
          <w:b/>
          <w:i/>
          <w:sz w:val="24"/>
          <w:szCs w:val="24"/>
          <w:lang w:val="en"/>
        </w:rPr>
      </w:pPr>
      <w:r w:rsidRPr="00514293">
        <w:rPr>
          <w:rFonts w:ascii="Times New Roman" w:eastAsia="Times New Roman" w:hAnsi="Times New Roman" w:cs="Times New Roman"/>
          <w:b/>
          <w:i/>
          <w:sz w:val="24"/>
          <w:szCs w:val="24"/>
          <w:lang w:val="en"/>
        </w:rPr>
        <w:t xml:space="preserve">A company acquires a subsidiary and will prepare consolidated financial statements for external reporting purposes. For internal reporting purposes, the company has decided to apply the initial value method. Why might the company have made this decision? </w:t>
      </w:r>
    </w:p>
    <w:p w14:paraId="19AFEB76" w14:textId="77777777" w:rsidR="00D04310" w:rsidRPr="00514293" w:rsidRDefault="006F311B" w:rsidP="006F311B">
      <w:pPr>
        <w:pStyle w:val="ListParagraph"/>
        <w:numPr>
          <w:ilvl w:val="0"/>
          <w:numId w:val="2"/>
        </w:numPr>
        <w:spacing w:after="0" w:line="240" w:lineRule="auto"/>
        <w:rPr>
          <w:rFonts w:ascii="Times New Roman" w:eastAsia="Times New Roman" w:hAnsi="Times New Roman" w:cs="Times New Roman"/>
          <w:b/>
          <w:i/>
          <w:sz w:val="24"/>
          <w:szCs w:val="24"/>
          <w:lang w:val="en"/>
        </w:rPr>
      </w:pPr>
      <w:r w:rsidRPr="00514293">
        <w:rPr>
          <w:rFonts w:ascii="Times New Roman" w:eastAsia="Times New Roman" w:hAnsi="Times New Roman" w:cs="Times New Roman"/>
          <w:b/>
          <w:i/>
          <w:sz w:val="24"/>
          <w:szCs w:val="24"/>
          <w:lang w:val="en"/>
        </w:rPr>
        <w:t xml:space="preserve">It is a relatively easy method to apply. </w:t>
      </w:r>
    </w:p>
    <w:p w14:paraId="57F222C7" w14:textId="77777777" w:rsidR="00D04310" w:rsidRPr="00514293" w:rsidRDefault="006F311B" w:rsidP="006F311B">
      <w:pPr>
        <w:pStyle w:val="ListParagraph"/>
        <w:numPr>
          <w:ilvl w:val="0"/>
          <w:numId w:val="2"/>
        </w:numPr>
        <w:spacing w:after="0" w:line="240" w:lineRule="auto"/>
        <w:rPr>
          <w:rFonts w:ascii="Times New Roman" w:eastAsia="Times New Roman" w:hAnsi="Times New Roman" w:cs="Times New Roman"/>
          <w:b/>
          <w:i/>
          <w:sz w:val="24"/>
          <w:szCs w:val="24"/>
          <w:lang w:val="en"/>
        </w:rPr>
      </w:pPr>
      <w:r w:rsidRPr="00514293">
        <w:rPr>
          <w:rFonts w:ascii="Times New Roman" w:eastAsia="Times New Roman" w:hAnsi="Times New Roman" w:cs="Times New Roman"/>
          <w:b/>
          <w:i/>
          <w:sz w:val="24"/>
          <w:szCs w:val="24"/>
          <w:lang w:val="en"/>
        </w:rPr>
        <w:t xml:space="preserve">Operating results appearing on the parent’s financial records reflect consolidated totals. </w:t>
      </w:r>
    </w:p>
    <w:p w14:paraId="7FC3BBD4" w14:textId="77777777" w:rsidR="00D04310" w:rsidRPr="00514293" w:rsidRDefault="006F311B" w:rsidP="006F311B">
      <w:pPr>
        <w:pStyle w:val="ListParagraph"/>
        <w:numPr>
          <w:ilvl w:val="0"/>
          <w:numId w:val="2"/>
        </w:numPr>
        <w:spacing w:after="0" w:line="240" w:lineRule="auto"/>
        <w:rPr>
          <w:rFonts w:ascii="Times New Roman" w:eastAsia="Times New Roman" w:hAnsi="Times New Roman" w:cs="Times New Roman"/>
          <w:b/>
          <w:i/>
          <w:sz w:val="24"/>
          <w:szCs w:val="24"/>
          <w:lang w:val="en"/>
        </w:rPr>
      </w:pPr>
      <w:r w:rsidRPr="00514293">
        <w:rPr>
          <w:rFonts w:ascii="Times New Roman" w:eastAsia="Times New Roman" w:hAnsi="Times New Roman" w:cs="Times New Roman"/>
          <w:b/>
          <w:i/>
          <w:sz w:val="24"/>
          <w:szCs w:val="24"/>
          <w:lang w:val="en"/>
        </w:rPr>
        <w:t xml:space="preserve">GAAP now requires the use of this particular method for internal reporting purposes. </w:t>
      </w:r>
    </w:p>
    <w:p w14:paraId="492DB134" w14:textId="4F8930EA" w:rsidR="00514293" w:rsidRDefault="006F311B" w:rsidP="00514293">
      <w:pPr>
        <w:pStyle w:val="ListParagraph"/>
        <w:numPr>
          <w:ilvl w:val="0"/>
          <w:numId w:val="2"/>
        </w:numPr>
        <w:spacing w:after="0" w:line="240" w:lineRule="auto"/>
        <w:rPr>
          <w:rFonts w:ascii="Times New Roman" w:eastAsia="Times New Roman" w:hAnsi="Times New Roman" w:cs="Times New Roman"/>
          <w:b/>
          <w:i/>
          <w:sz w:val="24"/>
          <w:szCs w:val="24"/>
          <w:lang w:val="en"/>
        </w:rPr>
      </w:pPr>
      <w:r w:rsidRPr="00514293">
        <w:rPr>
          <w:rFonts w:ascii="Times New Roman" w:eastAsia="Times New Roman" w:hAnsi="Times New Roman" w:cs="Times New Roman"/>
          <w:b/>
          <w:i/>
          <w:sz w:val="24"/>
          <w:szCs w:val="24"/>
          <w:lang w:val="en"/>
        </w:rPr>
        <w:t>Consolidation is not required when the parent uses the initial value method.</w:t>
      </w:r>
    </w:p>
    <w:p w14:paraId="3CB104F8" w14:textId="77777777" w:rsidR="00373E68" w:rsidRDefault="00373E68" w:rsidP="00373E68">
      <w:pPr>
        <w:pStyle w:val="ListParagraph"/>
        <w:spacing w:after="0" w:line="240" w:lineRule="auto"/>
        <w:ind w:left="2160"/>
        <w:rPr>
          <w:rFonts w:ascii="Times New Roman" w:eastAsia="Times New Roman" w:hAnsi="Times New Roman" w:cs="Times New Roman"/>
          <w:b/>
          <w:i/>
          <w:sz w:val="24"/>
          <w:szCs w:val="24"/>
          <w:lang w:val="en"/>
        </w:rPr>
      </w:pPr>
    </w:p>
    <w:p w14:paraId="5563429F" w14:textId="77777777" w:rsidR="00B543ED" w:rsidRDefault="00B543ED" w:rsidP="00AD6169">
      <w:pPr>
        <w:spacing w:after="0" w:line="360" w:lineRule="auto"/>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t>Answer: B</w:t>
      </w:r>
    </w:p>
    <w:p w14:paraId="48A933AC" w14:textId="3C63A2A4" w:rsidR="00C53577" w:rsidRDefault="00B04F3A" w:rsidP="00AD6169">
      <w:pPr>
        <w:spacing w:after="0" w:line="360" w:lineRule="auto"/>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t xml:space="preserve">The </w:t>
      </w:r>
      <w:r w:rsidRPr="00B04F3A">
        <w:rPr>
          <w:rFonts w:ascii="Times New Roman" w:eastAsia="Times New Roman" w:hAnsi="Times New Roman" w:cs="Times New Roman"/>
          <w:sz w:val="24"/>
          <w:szCs w:val="24"/>
          <w:lang w:val="en"/>
        </w:rPr>
        <w:t>company acquires a subsidiary and prepare</w:t>
      </w:r>
      <w:r>
        <w:rPr>
          <w:rFonts w:ascii="Times New Roman" w:eastAsia="Times New Roman" w:hAnsi="Times New Roman" w:cs="Times New Roman"/>
          <w:sz w:val="24"/>
          <w:szCs w:val="24"/>
          <w:lang w:val="en"/>
        </w:rPr>
        <w:t>s</w:t>
      </w:r>
      <w:r w:rsidRPr="00B04F3A">
        <w:rPr>
          <w:rFonts w:ascii="Times New Roman" w:eastAsia="Times New Roman" w:hAnsi="Times New Roman" w:cs="Times New Roman"/>
          <w:sz w:val="24"/>
          <w:szCs w:val="24"/>
          <w:lang w:val="en"/>
        </w:rPr>
        <w:t xml:space="preserve"> consolidated financial statements for external reporting purposes</w:t>
      </w:r>
      <w:r>
        <w:rPr>
          <w:rFonts w:ascii="Times New Roman" w:eastAsia="Times New Roman" w:hAnsi="Times New Roman" w:cs="Times New Roman"/>
          <w:sz w:val="24"/>
          <w:szCs w:val="24"/>
          <w:lang w:val="en"/>
        </w:rPr>
        <w:t xml:space="preserve"> and initial value method for internal reporting purposes</w:t>
      </w:r>
      <w:r w:rsidR="00C53577" w:rsidRPr="00373E68">
        <w:rPr>
          <w:rFonts w:ascii="Times New Roman" w:eastAsia="Times New Roman" w:hAnsi="Times New Roman" w:cs="Times New Roman"/>
          <w:sz w:val="24"/>
          <w:szCs w:val="24"/>
          <w:lang w:val="en"/>
        </w:rPr>
        <w:t xml:space="preserve">. The method </w:t>
      </w:r>
      <w:r>
        <w:rPr>
          <w:rFonts w:ascii="Times New Roman" w:eastAsia="Times New Roman" w:hAnsi="Times New Roman" w:cs="Times New Roman"/>
          <w:sz w:val="24"/>
          <w:szCs w:val="24"/>
          <w:lang w:val="en"/>
        </w:rPr>
        <w:t xml:space="preserve">used </w:t>
      </w:r>
      <w:r w:rsidR="00C53577" w:rsidRPr="00373E68">
        <w:rPr>
          <w:rFonts w:ascii="Times New Roman" w:eastAsia="Times New Roman" w:hAnsi="Times New Roman" w:cs="Times New Roman"/>
          <w:sz w:val="24"/>
          <w:szCs w:val="24"/>
          <w:lang w:val="en"/>
        </w:rPr>
        <w:t xml:space="preserve">views investors and </w:t>
      </w:r>
      <w:r w:rsidR="003A4FA0">
        <w:rPr>
          <w:rFonts w:ascii="Times New Roman" w:eastAsia="Times New Roman" w:hAnsi="Times New Roman" w:cs="Times New Roman"/>
          <w:sz w:val="24"/>
          <w:szCs w:val="24"/>
          <w:lang w:val="en"/>
        </w:rPr>
        <w:t>investees,</w:t>
      </w:r>
      <w:r w:rsidR="00373E68" w:rsidRPr="00373E68">
        <w:rPr>
          <w:rFonts w:ascii="Times New Roman" w:eastAsia="Times New Roman" w:hAnsi="Times New Roman" w:cs="Times New Roman"/>
          <w:sz w:val="24"/>
          <w:szCs w:val="24"/>
          <w:lang w:val="en"/>
        </w:rPr>
        <w:t xml:space="preserve"> each </w:t>
      </w:r>
      <w:r w:rsidR="00C53577" w:rsidRPr="00373E68">
        <w:rPr>
          <w:rFonts w:ascii="Times New Roman" w:eastAsia="Times New Roman" w:hAnsi="Times New Roman" w:cs="Times New Roman"/>
          <w:sz w:val="24"/>
          <w:szCs w:val="24"/>
          <w:lang w:val="en"/>
        </w:rPr>
        <w:t xml:space="preserve">as a single entity. </w:t>
      </w:r>
      <w:r>
        <w:rPr>
          <w:rFonts w:ascii="Times New Roman" w:eastAsia="Times New Roman" w:hAnsi="Times New Roman" w:cs="Times New Roman"/>
          <w:sz w:val="24"/>
          <w:szCs w:val="24"/>
          <w:lang w:val="en"/>
        </w:rPr>
        <w:t>It helps basically because any</w:t>
      </w:r>
      <w:r w:rsidR="00C53577" w:rsidRPr="00373E68">
        <w:rPr>
          <w:rFonts w:ascii="Times New Roman" w:eastAsia="Times New Roman" w:hAnsi="Times New Roman" w:cs="Times New Roman"/>
          <w:sz w:val="24"/>
          <w:szCs w:val="24"/>
          <w:lang w:val="en"/>
        </w:rPr>
        <w:t xml:space="preserve"> </w:t>
      </w:r>
      <w:r>
        <w:rPr>
          <w:rFonts w:ascii="Times New Roman" w:eastAsia="Times New Roman" w:hAnsi="Times New Roman" w:cs="Times New Roman"/>
          <w:sz w:val="24"/>
          <w:szCs w:val="24"/>
          <w:lang w:val="en"/>
        </w:rPr>
        <w:t xml:space="preserve">investor will </w:t>
      </w:r>
      <w:r w:rsidR="00C53577" w:rsidRPr="00373E68">
        <w:rPr>
          <w:rFonts w:ascii="Times New Roman" w:eastAsia="Times New Roman" w:hAnsi="Times New Roman" w:cs="Times New Roman"/>
          <w:sz w:val="24"/>
          <w:szCs w:val="24"/>
          <w:lang w:val="en"/>
        </w:rPr>
        <w:t>not include differ</w:t>
      </w:r>
      <w:bookmarkStart w:id="0" w:name="_GoBack"/>
      <w:bookmarkEnd w:id="0"/>
      <w:r w:rsidR="00C53577" w:rsidRPr="00373E68">
        <w:rPr>
          <w:rFonts w:ascii="Times New Roman" w:eastAsia="Times New Roman" w:hAnsi="Times New Roman" w:cs="Times New Roman"/>
          <w:sz w:val="24"/>
          <w:szCs w:val="24"/>
          <w:lang w:val="en"/>
        </w:rPr>
        <w:t xml:space="preserve">ent statements on finance </w:t>
      </w:r>
      <w:r w:rsidR="003A4FA0">
        <w:rPr>
          <w:rFonts w:ascii="Times New Roman" w:eastAsia="Times New Roman" w:hAnsi="Times New Roman" w:cs="Times New Roman"/>
          <w:sz w:val="24"/>
          <w:szCs w:val="24"/>
          <w:lang w:val="en"/>
        </w:rPr>
        <w:t>to th</w:t>
      </w:r>
      <w:r w:rsidR="00C53577" w:rsidRPr="00373E68">
        <w:rPr>
          <w:rFonts w:ascii="Times New Roman" w:eastAsia="Times New Roman" w:hAnsi="Times New Roman" w:cs="Times New Roman"/>
          <w:sz w:val="24"/>
          <w:szCs w:val="24"/>
          <w:lang w:val="en"/>
        </w:rPr>
        <w:t xml:space="preserve">e </w:t>
      </w:r>
      <w:r w:rsidR="003A4FA0">
        <w:rPr>
          <w:rFonts w:ascii="Times New Roman" w:eastAsia="Times New Roman" w:hAnsi="Times New Roman" w:cs="Times New Roman"/>
          <w:sz w:val="24"/>
          <w:szCs w:val="24"/>
          <w:lang w:val="en"/>
        </w:rPr>
        <w:t>investees</w:t>
      </w:r>
      <w:r w:rsidR="00C53577" w:rsidRPr="00373E68">
        <w:rPr>
          <w:rFonts w:ascii="Times New Roman" w:eastAsia="Times New Roman" w:hAnsi="Times New Roman" w:cs="Times New Roman"/>
          <w:sz w:val="24"/>
          <w:szCs w:val="24"/>
          <w:lang w:val="en"/>
        </w:rPr>
        <w:t xml:space="preserve"> as it is in consolidation</w:t>
      </w:r>
      <w:r w:rsidR="00373E68" w:rsidRPr="00373E68">
        <w:rPr>
          <w:rFonts w:ascii="Times New Roman" w:eastAsia="Times New Roman" w:hAnsi="Times New Roman" w:cs="Times New Roman"/>
          <w:sz w:val="24"/>
          <w:szCs w:val="24"/>
          <w:lang w:val="en"/>
        </w:rPr>
        <w:t xml:space="preserve"> (one item by another basis)</w:t>
      </w:r>
      <w:r>
        <w:rPr>
          <w:rFonts w:ascii="Times New Roman" w:eastAsia="Times New Roman" w:hAnsi="Times New Roman" w:cs="Times New Roman"/>
          <w:sz w:val="24"/>
          <w:szCs w:val="24"/>
          <w:lang w:val="en"/>
        </w:rPr>
        <w:t>, in this case,</w:t>
      </w:r>
      <w:r w:rsidR="00EC538E">
        <w:rPr>
          <w:rFonts w:ascii="Times New Roman" w:eastAsia="Times New Roman" w:hAnsi="Times New Roman" w:cs="Times New Roman"/>
          <w:sz w:val="24"/>
          <w:szCs w:val="24"/>
          <w:lang w:val="en"/>
        </w:rPr>
        <w:t xml:space="preserve"> the investment account of an investee remains in the initial value hence becoming advantageous. </w:t>
      </w:r>
      <w:r w:rsidR="00373E68" w:rsidRPr="00373E68">
        <w:rPr>
          <w:rFonts w:ascii="Times New Roman" w:eastAsia="Times New Roman" w:hAnsi="Times New Roman" w:cs="Times New Roman"/>
          <w:sz w:val="24"/>
          <w:szCs w:val="24"/>
          <w:lang w:val="en"/>
        </w:rPr>
        <w:t>Therefore, it is valid to say that the company has decided to apply the initial value method because operating results appearing on the parent’s financial records reflect consolidated totals. Hence the best option is b.</w:t>
      </w:r>
    </w:p>
    <w:p w14:paraId="6E186220" w14:textId="77777777" w:rsidR="00373E68" w:rsidRPr="00373E68" w:rsidRDefault="00373E68" w:rsidP="00373E68">
      <w:pPr>
        <w:spacing w:after="0" w:line="480" w:lineRule="auto"/>
        <w:rPr>
          <w:rFonts w:ascii="Times New Roman" w:eastAsia="Times New Roman" w:hAnsi="Times New Roman" w:cs="Times New Roman"/>
          <w:sz w:val="24"/>
          <w:szCs w:val="24"/>
          <w:lang w:val="en"/>
        </w:rPr>
      </w:pPr>
    </w:p>
    <w:p w14:paraId="142F3B2E" w14:textId="77777777" w:rsidR="009745B1" w:rsidRPr="00514293" w:rsidRDefault="00436DE9" w:rsidP="00436DE9">
      <w:pPr>
        <w:pStyle w:val="ListParagraph"/>
        <w:numPr>
          <w:ilvl w:val="0"/>
          <w:numId w:val="1"/>
        </w:numPr>
        <w:spacing w:after="0" w:line="240" w:lineRule="auto"/>
        <w:rPr>
          <w:rFonts w:ascii="Times New Roman" w:eastAsia="Times New Roman" w:hAnsi="Times New Roman" w:cs="Times New Roman"/>
          <w:b/>
          <w:i/>
          <w:sz w:val="24"/>
          <w:szCs w:val="24"/>
          <w:lang w:val="en"/>
        </w:rPr>
      </w:pPr>
      <w:r w:rsidRPr="00514293">
        <w:rPr>
          <w:rFonts w:ascii="Times New Roman" w:eastAsia="Times New Roman" w:hAnsi="Times New Roman" w:cs="Times New Roman"/>
          <w:b/>
          <w:i/>
          <w:sz w:val="24"/>
          <w:szCs w:val="24"/>
          <w:lang w:val="en"/>
        </w:rPr>
        <w:t xml:space="preserve">On January 1, 2018, Jay Company acquired all the outstanding ownership shares of Zee Company. In assessing Zee’s acquisition-date fair values, Jay concluded that the carrying value of Zee’s long-term debt (8-year remaining life) was less than its fair value by $20,000. At December 31, 2018, Zee Company’s accounts show interest expense of $12,000 and long-term debt of $250,000. What amounts of interest expense and long-term debt should appear on the December 31, 2018, consolidated financial statements of Jay and its subsidiary Zee? Interest expense Long-term debt </w:t>
      </w:r>
    </w:p>
    <w:p w14:paraId="15BCF5BE" w14:textId="0525CDB9" w:rsidR="009745B1" w:rsidRPr="00514293" w:rsidRDefault="00BE551E" w:rsidP="009745B1">
      <w:pPr>
        <w:pStyle w:val="ListParagraph"/>
        <w:spacing w:after="0" w:line="240" w:lineRule="auto"/>
        <w:rPr>
          <w:rFonts w:ascii="Times New Roman" w:eastAsia="Times New Roman" w:hAnsi="Times New Roman" w:cs="Times New Roman"/>
          <w:b/>
          <w:i/>
          <w:sz w:val="24"/>
          <w:szCs w:val="24"/>
          <w:lang w:val="en"/>
        </w:rPr>
      </w:pPr>
      <w:r>
        <w:rPr>
          <w:rFonts w:ascii="Times New Roman" w:eastAsia="Times New Roman" w:hAnsi="Times New Roman" w:cs="Times New Roman"/>
          <w:b/>
          <w:i/>
          <w:sz w:val="24"/>
          <w:szCs w:val="24"/>
          <w:lang w:val="en"/>
        </w:rPr>
        <w:t>∑∑</w:t>
      </w:r>
      <w:r w:rsidR="00436DE9" w:rsidRPr="00514293">
        <w:rPr>
          <w:rFonts w:ascii="Times New Roman" w:eastAsia="Times New Roman" w:hAnsi="Times New Roman" w:cs="Times New Roman"/>
          <w:b/>
          <w:i/>
          <w:sz w:val="24"/>
          <w:szCs w:val="24"/>
          <w:lang w:val="en"/>
        </w:rPr>
        <w:t>a. $14,500 $270,000</w:t>
      </w:r>
    </w:p>
    <w:p w14:paraId="74BD4371" w14:textId="71442A0F" w:rsidR="009745B1" w:rsidRPr="00514293" w:rsidRDefault="00436DE9" w:rsidP="009745B1">
      <w:pPr>
        <w:pStyle w:val="ListParagraph"/>
        <w:spacing w:after="0" w:line="240" w:lineRule="auto"/>
        <w:rPr>
          <w:rFonts w:ascii="Times New Roman" w:eastAsia="Times New Roman" w:hAnsi="Times New Roman" w:cs="Times New Roman"/>
          <w:b/>
          <w:i/>
          <w:sz w:val="24"/>
          <w:szCs w:val="24"/>
          <w:lang w:val="en"/>
        </w:rPr>
      </w:pPr>
      <w:r w:rsidRPr="00514293">
        <w:rPr>
          <w:rFonts w:ascii="Times New Roman" w:eastAsia="Times New Roman" w:hAnsi="Times New Roman" w:cs="Times New Roman"/>
          <w:b/>
          <w:i/>
          <w:sz w:val="24"/>
          <w:szCs w:val="24"/>
          <w:lang w:val="en"/>
        </w:rPr>
        <w:t xml:space="preserve">b. $14,500 $267,500 </w:t>
      </w:r>
    </w:p>
    <w:p w14:paraId="462AC13D" w14:textId="77777777" w:rsidR="009745B1" w:rsidRPr="00514293" w:rsidRDefault="00436DE9" w:rsidP="009745B1">
      <w:pPr>
        <w:pStyle w:val="ListParagraph"/>
        <w:spacing w:after="0" w:line="240" w:lineRule="auto"/>
        <w:rPr>
          <w:rFonts w:ascii="Times New Roman" w:eastAsia="Times New Roman" w:hAnsi="Times New Roman" w:cs="Times New Roman"/>
          <w:b/>
          <w:i/>
          <w:sz w:val="24"/>
          <w:szCs w:val="24"/>
          <w:lang w:val="en"/>
        </w:rPr>
      </w:pPr>
      <w:r w:rsidRPr="00514293">
        <w:rPr>
          <w:rFonts w:ascii="Times New Roman" w:eastAsia="Times New Roman" w:hAnsi="Times New Roman" w:cs="Times New Roman"/>
          <w:b/>
          <w:i/>
          <w:sz w:val="24"/>
          <w:szCs w:val="24"/>
          <w:lang w:val="en"/>
        </w:rPr>
        <w:t xml:space="preserve">c. $9,500 $270,000 </w:t>
      </w:r>
    </w:p>
    <w:p w14:paraId="27E59EE1" w14:textId="77777777" w:rsidR="00DF0FC4" w:rsidRDefault="00436DE9" w:rsidP="00DF0FC4">
      <w:pPr>
        <w:pStyle w:val="ListParagraph"/>
        <w:spacing w:after="0" w:line="240" w:lineRule="auto"/>
        <w:rPr>
          <w:rFonts w:ascii="Times New Roman" w:eastAsia="Times New Roman" w:hAnsi="Times New Roman" w:cs="Times New Roman"/>
          <w:b/>
          <w:i/>
          <w:sz w:val="24"/>
          <w:szCs w:val="24"/>
          <w:lang w:val="en"/>
        </w:rPr>
      </w:pPr>
      <w:r w:rsidRPr="00514293">
        <w:rPr>
          <w:rFonts w:ascii="Times New Roman" w:eastAsia="Times New Roman" w:hAnsi="Times New Roman" w:cs="Times New Roman"/>
          <w:b/>
          <w:i/>
          <w:sz w:val="24"/>
          <w:szCs w:val="24"/>
          <w:lang w:val="en"/>
        </w:rPr>
        <w:t>d. $9,500 $267,500</w:t>
      </w:r>
    </w:p>
    <w:p w14:paraId="38796321" w14:textId="77777777" w:rsidR="00373E68" w:rsidRDefault="00373E68" w:rsidP="00DF0FC4">
      <w:pPr>
        <w:pStyle w:val="ListParagraph"/>
        <w:spacing w:after="0" w:line="240" w:lineRule="auto"/>
        <w:rPr>
          <w:rFonts w:ascii="Times New Roman" w:eastAsia="Times New Roman" w:hAnsi="Times New Roman" w:cs="Times New Roman"/>
          <w:b/>
          <w:i/>
          <w:sz w:val="24"/>
          <w:szCs w:val="24"/>
          <w:lang w:val="en"/>
        </w:rPr>
      </w:pPr>
    </w:p>
    <w:p w14:paraId="2148B4C5" w14:textId="77777777" w:rsidR="00B543ED" w:rsidRDefault="00B543ED" w:rsidP="00B543ED">
      <w:pPr>
        <w:spacing w:after="0" w:line="360" w:lineRule="auto"/>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t>Answer: D</w:t>
      </w:r>
    </w:p>
    <w:p w14:paraId="615740AE" w14:textId="75358553" w:rsidR="00423E0A" w:rsidRDefault="00514293" w:rsidP="00423E0A">
      <w:pPr>
        <w:spacing w:after="0" w:line="360" w:lineRule="auto"/>
        <w:jc w:val="center"/>
        <w:rPr>
          <w:rFonts w:ascii="Times New Roman" w:eastAsia="Times New Roman" w:hAnsi="Times New Roman" w:cs="Times New Roman"/>
          <w:sz w:val="24"/>
          <w:szCs w:val="24"/>
          <w:lang w:val="en"/>
        </w:rPr>
      </w:pPr>
      <w:r w:rsidRPr="00DF0FC4">
        <w:rPr>
          <w:rFonts w:ascii="Times New Roman" w:eastAsia="Times New Roman" w:hAnsi="Times New Roman" w:cs="Times New Roman"/>
          <w:sz w:val="24"/>
          <w:szCs w:val="24"/>
          <w:lang w:val="en"/>
        </w:rPr>
        <w:lastRenderedPageBreak/>
        <w:t>The difference between the carrying value</w:t>
      </w:r>
      <w:r w:rsidR="00703F87" w:rsidRPr="004643D6">
        <w:t xml:space="preserve"> </w:t>
      </w:r>
      <w:r w:rsidR="00703F87" w:rsidRPr="00DF0FC4">
        <w:rPr>
          <w:rFonts w:ascii="Times New Roman" w:eastAsia="Times New Roman" w:hAnsi="Times New Roman" w:cs="Times New Roman"/>
          <w:sz w:val="24"/>
          <w:szCs w:val="24"/>
          <w:lang w:val="en"/>
        </w:rPr>
        <w:t>of Zee’s long-term debt</w:t>
      </w:r>
      <w:r w:rsidRPr="00DF0FC4">
        <w:rPr>
          <w:rFonts w:ascii="Times New Roman" w:eastAsia="Times New Roman" w:hAnsi="Times New Roman" w:cs="Times New Roman"/>
          <w:sz w:val="24"/>
          <w:szCs w:val="24"/>
          <w:lang w:val="en"/>
        </w:rPr>
        <w:t xml:space="preserve"> and the fair value in the remaining years is $20</w:t>
      </w:r>
      <w:r w:rsidR="003A4FA0">
        <w:rPr>
          <w:rFonts w:ascii="Times New Roman" w:eastAsia="Times New Roman" w:hAnsi="Times New Roman" w:cs="Times New Roman"/>
          <w:sz w:val="24"/>
          <w:szCs w:val="24"/>
          <w:lang w:val="en"/>
        </w:rPr>
        <w:t>,</w:t>
      </w:r>
      <w:r w:rsidRPr="00DF0FC4">
        <w:rPr>
          <w:rFonts w:ascii="Times New Roman" w:eastAsia="Times New Roman" w:hAnsi="Times New Roman" w:cs="Times New Roman"/>
          <w:sz w:val="24"/>
          <w:szCs w:val="24"/>
          <w:lang w:val="en"/>
        </w:rPr>
        <w:t>000.</w:t>
      </w:r>
    </w:p>
    <w:p w14:paraId="79A2A470" w14:textId="77777777" w:rsidR="00423E0A" w:rsidRDefault="00C01B5C" w:rsidP="00423E0A">
      <w:pPr>
        <w:spacing w:after="0" w:line="360" w:lineRule="auto"/>
        <w:jc w:val="center"/>
        <w:rPr>
          <w:rFonts w:ascii="Times New Roman" w:eastAsia="Times New Roman" w:hAnsi="Times New Roman" w:cs="Times New Roman"/>
          <w:sz w:val="24"/>
          <w:szCs w:val="24"/>
          <w:lang w:val="en"/>
        </w:rPr>
      </w:pPr>
      <w:r w:rsidRPr="00DF0FC4">
        <w:rPr>
          <w:rFonts w:ascii="Times New Roman" w:eastAsia="Times New Roman" w:hAnsi="Times New Roman" w:cs="Times New Roman"/>
          <w:sz w:val="24"/>
          <w:szCs w:val="24"/>
          <w:lang w:val="en"/>
        </w:rPr>
        <w:t xml:space="preserve">This amount is written off and also adjusted from the interest for the </w:t>
      </w:r>
      <w:r w:rsidR="00703F87" w:rsidRPr="00DF0FC4">
        <w:rPr>
          <w:rFonts w:ascii="Times New Roman" w:eastAsia="Times New Roman" w:hAnsi="Times New Roman" w:cs="Times New Roman"/>
          <w:sz w:val="24"/>
          <w:szCs w:val="24"/>
          <w:lang w:val="en"/>
        </w:rPr>
        <w:t>claimed</w:t>
      </w:r>
      <w:r w:rsidRPr="00DF0FC4">
        <w:rPr>
          <w:rFonts w:ascii="Times New Roman" w:eastAsia="Times New Roman" w:hAnsi="Times New Roman" w:cs="Times New Roman"/>
          <w:sz w:val="24"/>
          <w:szCs w:val="24"/>
          <w:lang w:val="en"/>
        </w:rPr>
        <w:t xml:space="preserve"> 8-remainiy years. This amount is calculated per year </w:t>
      </w:r>
      <w:r w:rsidR="00423E0A">
        <w:rPr>
          <w:rFonts w:ascii="Times New Roman" w:eastAsia="Times New Roman" w:hAnsi="Times New Roman" w:cs="Times New Roman"/>
          <w:sz w:val="24"/>
          <w:szCs w:val="24"/>
          <w:lang w:val="en"/>
        </w:rPr>
        <w:t>as follows:</w:t>
      </w:r>
    </w:p>
    <w:p w14:paraId="51EB90C9" w14:textId="4343D86F" w:rsidR="00423E0A" w:rsidRDefault="00423E0A" w:rsidP="00423E0A">
      <w:pPr>
        <w:spacing w:after="0" w:line="360" w:lineRule="auto"/>
        <w:jc w:val="center"/>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t>=$20</w:t>
      </w:r>
      <w:r w:rsidR="003A4FA0">
        <w:rPr>
          <w:rFonts w:ascii="Times New Roman" w:eastAsia="Times New Roman" w:hAnsi="Times New Roman" w:cs="Times New Roman"/>
          <w:sz w:val="24"/>
          <w:szCs w:val="24"/>
          <w:lang w:val="en"/>
        </w:rPr>
        <w:t>,</w:t>
      </w:r>
      <w:r>
        <w:rPr>
          <w:rFonts w:ascii="Times New Roman" w:eastAsia="Times New Roman" w:hAnsi="Times New Roman" w:cs="Times New Roman"/>
          <w:sz w:val="24"/>
          <w:szCs w:val="24"/>
          <w:lang w:val="en"/>
        </w:rPr>
        <w:t>000÷</w:t>
      </w:r>
      <w:r w:rsidR="00C01B5C" w:rsidRPr="00DF0FC4">
        <w:rPr>
          <w:rFonts w:ascii="Times New Roman" w:eastAsia="Times New Roman" w:hAnsi="Times New Roman" w:cs="Times New Roman"/>
          <w:sz w:val="24"/>
          <w:szCs w:val="24"/>
          <w:lang w:val="en"/>
        </w:rPr>
        <w:t>8</w:t>
      </w:r>
    </w:p>
    <w:p w14:paraId="58F9882F" w14:textId="551E5871" w:rsidR="00423E0A" w:rsidRDefault="00C01B5C" w:rsidP="00423E0A">
      <w:pPr>
        <w:spacing w:after="0" w:line="360" w:lineRule="auto"/>
        <w:jc w:val="center"/>
        <w:rPr>
          <w:rFonts w:ascii="Times New Roman" w:eastAsia="Times New Roman" w:hAnsi="Times New Roman" w:cs="Times New Roman"/>
          <w:sz w:val="24"/>
          <w:szCs w:val="24"/>
          <w:lang w:val="en"/>
        </w:rPr>
      </w:pPr>
      <w:r w:rsidRPr="00DF0FC4">
        <w:rPr>
          <w:rFonts w:ascii="Times New Roman" w:eastAsia="Times New Roman" w:hAnsi="Times New Roman" w:cs="Times New Roman"/>
          <w:sz w:val="24"/>
          <w:szCs w:val="24"/>
          <w:lang w:val="en"/>
        </w:rPr>
        <w:t>= $2500.</w:t>
      </w:r>
    </w:p>
    <w:p w14:paraId="0833D6B3" w14:textId="598D4B0F" w:rsidR="00423E0A" w:rsidRDefault="00C01B5C" w:rsidP="00423E0A">
      <w:pPr>
        <w:spacing w:after="0" w:line="360" w:lineRule="auto"/>
        <w:jc w:val="center"/>
        <w:rPr>
          <w:rFonts w:ascii="Times New Roman" w:eastAsia="Times New Roman" w:hAnsi="Times New Roman" w:cs="Times New Roman"/>
          <w:sz w:val="24"/>
          <w:szCs w:val="24"/>
          <w:lang w:val="en"/>
        </w:rPr>
      </w:pPr>
      <w:r w:rsidRPr="00DF0FC4">
        <w:rPr>
          <w:rFonts w:ascii="Times New Roman" w:eastAsia="Times New Roman" w:hAnsi="Times New Roman" w:cs="Times New Roman"/>
          <w:sz w:val="24"/>
          <w:szCs w:val="24"/>
          <w:lang w:val="en"/>
        </w:rPr>
        <w:t xml:space="preserve">It is evident that any </w:t>
      </w:r>
      <w:r w:rsidR="00703F87" w:rsidRPr="00DF0FC4">
        <w:rPr>
          <w:rFonts w:ascii="Times New Roman" w:eastAsia="Times New Roman" w:hAnsi="Times New Roman" w:cs="Times New Roman"/>
          <w:sz w:val="24"/>
          <w:szCs w:val="24"/>
          <w:lang w:val="en"/>
        </w:rPr>
        <w:t>long-term</w:t>
      </w:r>
      <w:r w:rsidRPr="00DF0FC4">
        <w:rPr>
          <w:rFonts w:ascii="Times New Roman" w:eastAsia="Times New Roman" w:hAnsi="Times New Roman" w:cs="Times New Roman"/>
          <w:sz w:val="24"/>
          <w:szCs w:val="24"/>
          <w:lang w:val="en"/>
        </w:rPr>
        <w:t xml:space="preserve"> debt should not exceed </w:t>
      </w:r>
      <w:r w:rsidR="00423E0A">
        <w:rPr>
          <w:rFonts w:ascii="Times New Roman" w:eastAsia="Times New Roman" w:hAnsi="Times New Roman" w:cs="Times New Roman"/>
          <w:sz w:val="24"/>
          <w:szCs w:val="24"/>
          <w:lang w:val="en"/>
        </w:rPr>
        <w:t>the following:</w:t>
      </w:r>
    </w:p>
    <w:p w14:paraId="320D7E3E" w14:textId="66935C54" w:rsidR="00423E0A" w:rsidRDefault="00423E0A" w:rsidP="00423E0A">
      <w:pPr>
        <w:spacing w:after="0" w:line="360" w:lineRule="auto"/>
        <w:jc w:val="center"/>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t>$</w:t>
      </w:r>
      <w:r w:rsidR="00C01B5C" w:rsidRPr="00DF0FC4">
        <w:rPr>
          <w:rFonts w:ascii="Times New Roman" w:eastAsia="Times New Roman" w:hAnsi="Times New Roman" w:cs="Times New Roman"/>
          <w:sz w:val="24"/>
          <w:szCs w:val="24"/>
          <w:lang w:val="en"/>
        </w:rPr>
        <w:t>250</w:t>
      </w:r>
      <w:r w:rsidR="003A4FA0">
        <w:rPr>
          <w:rFonts w:ascii="Times New Roman" w:eastAsia="Times New Roman" w:hAnsi="Times New Roman" w:cs="Times New Roman"/>
          <w:sz w:val="24"/>
          <w:szCs w:val="24"/>
          <w:lang w:val="en"/>
        </w:rPr>
        <w:t>,</w:t>
      </w:r>
      <w:r w:rsidR="00C01B5C" w:rsidRPr="00DF0FC4">
        <w:rPr>
          <w:rFonts w:ascii="Times New Roman" w:eastAsia="Times New Roman" w:hAnsi="Times New Roman" w:cs="Times New Roman"/>
          <w:sz w:val="24"/>
          <w:szCs w:val="24"/>
          <w:lang w:val="en"/>
        </w:rPr>
        <w:t>000</w:t>
      </w:r>
      <w:r>
        <w:rPr>
          <w:rFonts w:ascii="Times New Roman" w:eastAsia="Times New Roman" w:hAnsi="Times New Roman" w:cs="Times New Roman"/>
          <w:sz w:val="24"/>
          <w:szCs w:val="24"/>
          <w:lang w:val="en"/>
        </w:rPr>
        <w:t>+ $</w:t>
      </w:r>
      <w:r w:rsidR="00703F87" w:rsidRPr="00DF0FC4">
        <w:rPr>
          <w:rFonts w:ascii="Times New Roman" w:eastAsia="Times New Roman" w:hAnsi="Times New Roman" w:cs="Times New Roman"/>
          <w:sz w:val="24"/>
          <w:szCs w:val="24"/>
          <w:lang w:val="en"/>
        </w:rPr>
        <w:t>20</w:t>
      </w:r>
      <w:r w:rsidR="003A4FA0">
        <w:rPr>
          <w:rFonts w:ascii="Times New Roman" w:eastAsia="Times New Roman" w:hAnsi="Times New Roman" w:cs="Times New Roman"/>
          <w:sz w:val="24"/>
          <w:szCs w:val="24"/>
          <w:lang w:val="en"/>
        </w:rPr>
        <w:t>,</w:t>
      </w:r>
      <w:r w:rsidR="00703F87" w:rsidRPr="00DF0FC4">
        <w:rPr>
          <w:rFonts w:ascii="Times New Roman" w:eastAsia="Times New Roman" w:hAnsi="Times New Roman" w:cs="Times New Roman"/>
          <w:sz w:val="24"/>
          <w:szCs w:val="24"/>
          <w:lang w:val="en"/>
        </w:rPr>
        <w:t>000-</w:t>
      </w:r>
      <w:r>
        <w:rPr>
          <w:rFonts w:ascii="Times New Roman" w:eastAsia="Times New Roman" w:hAnsi="Times New Roman" w:cs="Times New Roman"/>
          <w:sz w:val="24"/>
          <w:szCs w:val="24"/>
          <w:lang w:val="en"/>
        </w:rPr>
        <w:t xml:space="preserve"> $2</w:t>
      </w:r>
      <w:r w:rsidR="003A4FA0">
        <w:rPr>
          <w:rFonts w:ascii="Times New Roman" w:eastAsia="Times New Roman" w:hAnsi="Times New Roman" w:cs="Times New Roman"/>
          <w:sz w:val="24"/>
          <w:szCs w:val="24"/>
          <w:lang w:val="en"/>
        </w:rPr>
        <w:t>,</w:t>
      </w:r>
      <w:r>
        <w:rPr>
          <w:rFonts w:ascii="Times New Roman" w:eastAsia="Times New Roman" w:hAnsi="Times New Roman" w:cs="Times New Roman"/>
          <w:sz w:val="24"/>
          <w:szCs w:val="24"/>
          <w:lang w:val="en"/>
        </w:rPr>
        <w:t>500</w:t>
      </w:r>
    </w:p>
    <w:p w14:paraId="06238131" w14:textId="4AB0DC47" w:rsidR="00423E0A" w:rsidRDefault="00703F87" w:rsidP="00423E0A">
      <w:pPr>
        <w:spacing w:after="0" w:line="360" w:lineRule="auto"/>
        <w:jc w:val="center"/>
        <w:rPr>
          <w:rFonts w:ascii="Times New Roman" w:eastAsia="Times New Roman" w:hAnsi="Times New Roman" w:cs="Times New Roman"/>
          <w:sz w:val="24"/>
          <w:szCs w:val="24"/>
          <w:lang w:val="en"/>
        </w:rPr>
      </w:pPr>
      <w:r w:rsidRPr="00DF0FC4">
        <w:rPr>
          <w:rFonts w:ascii="Times New Roman" w:eastAsia="Times New Roman" w:hAnsi="Times New Roman" w:cs="Times New Roman"/>
          <w:sz w:val="24"/>
          <w:szCs w:val="24"/>
          <w:lang w:val="en"/>
        </w:rPr>
        <w:t xml:space="preserve"> =$267,500 </w:t>
      </w:r>
    </w:p>
    <w:p w14:paraId="74BD65D9" w14:textId="645E39F8" w:rsidR="00423E0A" w:rsidRDefault="00703F87" w:rsidP="00423E0A">
      <w:pPr>
        <w:spacing w:after="0" w:line="360" w:lineRule="auto"/>
        <w:jc w:val="center"/>
        <w:rPr>
          <w:rFonts w:ascii="Times New Roman" w:eastAsia="Times New Roman" w:hAnsi="Times New Roman" w:cs="Times New Roman"/>
          <w:sz w:val="24"/>
          <w:szCs w:val="24"/>
          <w:lang w:val="en"/>
        </w:rPr>
      </w:pPr>
      <w:r w:rsidRPr="004643D6">
        <w:rPr>
          <w:rFonts w:ascii="Times New Roman" w:eastAsia="Times New Roman" w:hAnsi="Times New Roman" w:cs="Times New Roman"/>
          <w:sz w:val="24"/>
          <w:szCs w:val="24"/>
          <w:lang w:val="en"/>
        </w:rPr>
        <w:t>O</w:t>
      </w:r>
      <w:r w:rsidR="00423E0A">
        <w:rPr>
          <w:rFonts w:ascii="Times New Roman" w:eastAsia="Times New Roman" w:hAnsi="Times New Roman" w:cs="Times New Roman"/>
          <w:sz w:val="24"/>
          <w:szCs w:val="24"/>
          <w:lang w:val="en"/>
        </w:rPr>
        <w:t>n the side of interest expense:</w:t>
      </w:r>
    </w:p>
    <w:p w14:paraId="0DE2C7B2" w14:textId="4E8F21D4" w:rsidR="00423E0A" w:rsidRDefault="00423E0A" w:rsidP="00423E0A">
      <w:pPr>
        <w:spacing w:after="0" w:line="360" w:lineRule="auto"/>
        <w:jc w:val="center"/>
        <w:rPr>
          <w:rFonts w:ascii="Times New Roman" w:eastAsia="Times New Roman" w:hAnsi="Times New Roman" w:cs="Times New Roman"/>
          <w:sz w:val="24"/>
          <w:szCs w:val="24"/>
          <w:lang w:val="en"/>
        </w:rPr>
      </w:pPr>
      <w:r w:rsidRPr="004643D6">
        <w:rPr>
          <w:rFonts w:ascii="Times New Roman" w:eastAsia="Times New Roman" w:hAnsi="Times New Roman" w:cs="Times New Roman"/>
          <w:sz w:val="24"/>
          <w:szCs w:val="24"/>
          <w:lang w:val="en"/>
        </w:rPr>
        <w:t>Interest</w:t>
      </w:r>
      <w:r w:rsidR="00703F87" w:rsidRPr="004643D6">
        <w:rPr>
          <w:rFonts w:ascii="Times New Roman" w:eastAsia="Times New Roman" w:hAnsi="Times New Roman" w:cs="Times New Roman"/>
          <w:sz w:val="24"/>
          <w:szCs w:val="24"/>
          <w:lang w:val="en"/>
        </w:rPr>
        <w:t xml:space="preserve"> expense</w:t>
      </w:r>
      <w:r>
        <w:rPr>
          <w:rFonts w:ascii="Times New Roman" w:eastAsia="Times New Roman" w:hAnsi="Times New Roman" w:cs="Times New Roman"/>
          <w:sz w:val="24"/>
          <w:szCs w:val="24"/>
          <w:lang w:val="en"/>
        </w:rPr>
        <w:t xml:space="preserve"> </w:t>
      </w:r>
      <w:r w:rsidR="00703F87" w:rsidRPr="004643D6">
        <w:rPr>
          <w:rFonts w:ascii="Times New Roman" w:eastAsia="Times New Roman" w:hAnsi="Times New Roman" w:cs="Times New Roman"/>
          <w:sz w:val="24"/>
          <w:szCs w:val="24"/>
          <w:lang w:val="en"/>
        </w:rPr>
        <w:t>=</w:t>
      </w:r>
      <w:r>
        <w:rPr>
          <w:rFonts w:ascii="Times New Roman" w:eastAsia="Times New Roman" w:hAnsi="Times New Roman" w:cs="Times New Roman"/>
          <w:sz w:val="24"/>
          <w:szCs w:val="24"/>
          <w:lang w:val="en"/>
        </w:rPr>
        <w:t xml:space="preserve"> </w:t>
      </w:r>
      <w:r w:rsidR="00703F87" w:rsidRPr="004643D6">
        <w:rPr>
          <w:rFonts w:ascii="Times New Roman" w:eastAsia="Times New Roman" w:hAnsi="Times New Roman" w:cs="Times New Roman"/>
          <w:sz w:val="24"/>
          <w:szCs w:val="24"/>
          <w:lang w:val="en"/>
        </w:rPr>
        <w:t xml:space="preserve">unadjusted interest expense –proportionate difference in the fair value, </w:t>
      </w:r>
      <w:r>
        <w:rPr>
          <w:rFonts w:ascii="Times New Roman" w:eastAsia="Times New Roman" w:hAnsi="Times New Roman" w:cs="Times New Roman"/>
          <w:sz w:val="24"/>
          <w:szCs w:val="24"/>
          <w:lang w:val="en"/>
        </w:rPr>
        <w:t>as follows</w:t>
      </w:r>
    </w:p>
    <w:p w14:paraId="7BBB57FA" w14:textId="32DC5DA1" w:rsidR="00423E0A" w:rsidRDefault="00423E0A" w:rsidP="00423E0A">
      <w:pPr>
        <w:spacing w:after="0" w:line="360" w:lineRule="auto"/>
        <w:jc w:val="center"/>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t xml:space="preserve">= </w:t>
      </w:r>
      <w:r w:rsidR="00703F87" w:rsidRPr="004643D6">
        <w:rPr>
          <w:rFonts w:ascii="Times New Roman" w:eastAsia="Times New Roman" w:hAnsi="Times New Roman" w:cs="Times New Roman"/>
          <w:sz w:val="24"/>
          <w:szCs w:val="24"/>
          <w:lang w:val="en"/>
        </w:rPr>
        <w:t>$12</w:t>
      </w:r>
      <w:r w:rsidR="003A4FA0">
        <w:rPr>
          <w:rFonts w:ascii="Times New Roman" w:eastAsia="Times New Roman" w:hAnsi="Times New Roman" w:cs="Times New Roman"/>
          <w:sz w:val="24"/>
          <w:szCs w:val="24"/>
          <w:lang w:val="en"/>
        </w:rPr>
        <w:t>,</w:t>
      </w:r>
      <w:r w:rsidR="00703F87" w:rsidRPr="004643D6">
        <w:rPr>
          <w:rFonts w:ascii="Times New Roman" w:eastAsia="Times New Roman" w:hAnsi="Times New Roman" w:cs="Times New Roman"/>
          <w:sz w:val="24"/>
          <w:szCs w:val="24"/>
          <w:lang w:val="en"/>
        </w:rPr>
        <w:t>000- $2</w:t>
      </w:r>
      <w:r w:rsidR="003A4FA0">
        <w:rPr>
          <w:rFonts w:ascii="Times New Roman" w:eastAsia="Times New Roman" w:hAnsi="Times New Roman" w:cs="Times New Roman"/>
          <w:sz w:val="24"/>
          <w:szCs w:val="24"/>
          <w:lang w:val="en"/>
        </w:rPr>
        <w:t>,</w:t>
      </w:r>
      <w:r w:rsidR="00703F87" w:rsidRPr="004643D6">
        <w:rPr>
          <w:rFonts w:ascii="Times New Roman" w:eastAsia="Times New Roman" w:hAnsi="Times New Roman" w:cs="Times New Roman"/>
          <w:sz w:val="24"/>
          <w:szCs w:val="24"/>
          <w:lang w:val="en"/>
        </w:rPr>
        <w:t>500</w:t>
      </w:r>
    </w:p>
    <w:p w14:paraId="20E0AFFD" w14:textId="5D2B1265" w:rsidR="00423E0A" w:rsidRDefault="00703F87" w:rsidP="00423E0A">
      <w:pPr>
        <w:spacing w:after="0" w:line="360" w:lineRule="auto"/>
        <w:jc w:val="center"/>
        <w:rPr>
          <w:rFonts w:ascii="Times New Roman" w:eastAsia="Times New Roman" w:hAnsi="Times New Roman" w:cs="Times New Roman"/>
          <w:sz w:val="24"/>
          <w:szCs w:val="24"/>
          <w:lang w:val="en"/>
        </w:rPr>
      </w:pPr>
      <w:r w:rsidRPr="004643D6">
        <w:rPr>
          <w:rFonts w:ascii="Times New Roman" w:eastAsia="Times New Roman" w:hAnsi="Times New Roman" w:cs="Times New Roman"/>
          <w:sz w:val="24"/>
          <w:szCs w:val="24"/>
          <w:lang w:val="en"/>
        </w:rPr>
        <w:t>=</w:t>
      </w:r>
      <w:r w:rsidR="00423E0A">
        <w:rPr>
          <w:rFonts w:ascii="Times New Roman" w:eastAsia="Times New Roman" w:hAnsi="Times New Roman" w:cs="Times New Roman"/>
          <w:sz w:val="24"/>
          <w:szCs w:val="24"/>
          <w:lang w:val="en"/>
        </w:rPr>
        <w:t xml:space="preserve"> </w:t>
      </w:r>
      <w:r w:rsidRPr="004643D6">
        <w:rPr>
          <w:rFonts w:ascii="Times New Roman" w:eastAsia="Times New Roman" w:hAnsi="Times New Roman" w:cs="Times New Roman"/>
          <w:sz w:val="24"/>
          <w:szCs w:val="24"/>
          <w:lang w:val="en"/>
        </w:rPr>
        <w:t>$9500.</w:t>
      </w:r>
    </w:p>
    <w:p w14:paraId="0135D96B" w14:textId="4B00ACB3" w:rsidR="003A4FA0" w:rsidRDefault="00703F87" w:rsidP="00423E0A">
      <w:pPr>
        <w:spacing w:after="0" w:line="360" w:lineRule="auto"/>
        <w:jc w:val="center"/>
        <w:rPr>
          <w:rFonts w:ascii="Times New Roman" w:eastAsia="Times New Roman" w:hAnsi="Times New Roman" w:cs="Times New Roman"/>
          <w:sz w:val="24"/>
          <w:szCs w:val="24"/>
          <w:lang w:val="en"/>
        </w:rPr>
      </w:pPr>
      <w:r w:rsidRPr="004643D6">
        <w:rPr>
          <w:rFonts w:ascii="Times New Roman" w:eastAsia="Times New Roman" w:hAnsi="Times New Roman" w:cs="Times New Roman"/>
          <w:sz w:val="24"/>
          <w:szCs w:val="24"/>
          <w:lang w:val="en"/>
        </w:rPr>
        <w:t>Therefore the adjusted interest expense is $9500 and the long-term debt as at December 31, 2018, is $267</w:t>
      </w:r>
      <w:r w:rsidR="003A4FA0">
        <w:rPr>
          <w:rFonts w:ascii="Times New Roman" w:eastAsia="Times New Roman" w:hAnsi="Times New Roman" w:cs="Times New Roman"/>
          <w:sz w:val="24"/>
          <w:szCs w:val="24"/>
          <w:lang w:val="en"/>
        </w:rPr>
        <w:t>,</w:t>
      </w:r>
      <w:r w:rsidRPr="004643D6">
        <w:rPr>
          <w:rFonts w:ascii="Times New Roman" w:eastAsia="Times New Roman" w:hAnsi="Times New Roman" w:cs="Times New Roman"/>
          <w:sz w:val="24"/>
          <w:szCs w:val="24"/>
          <w:lang w:val="en"/>
        </w:rPr>
        <w:t xml:space="preserve">500. </w:t>
      </w:r>
    </w:p>
    <w:p w14:paraId="5D265A8C" w14:textId="09E29D90" w:rsidR="00514293" w:rsidRPr="004643D6" w:rsidRDefault="00703F87" w:rsidP="00423E0A">
      <w:pPr>
        <w:spacing w:after="0" w:line="360" w:lineRule="auto"/>
        <w:jc w:val="center"/>
        <w:rPr>
          <w:rFonts w:ascii="Times New Roman" w:eastAsia="Times New Roman" w:hAnsi="Times New Roman" w:cs="Times New Roman"/>
          <w:sz w:val="24"/>
          <w:szCs w:val="24"/>
          <w:lang w:val="en"/>
        </w:rPr>
      </w:pPr>
      <w:r w:rsidRPr="004643D6">
        <w:rPr>
          <w:rFonts w:ascii="Times New Roman" w:eastAsia="Times New Roman" w:hAnsi="Times New Roman" w:cs="Times New Roman"/>
          <w:sz w:val="24"/>
          <w:szCs w:val="24"/>
          <w:lang w:val="en"/>
        </w:rPr>
        <w:t>Hence, the correct answer is d.</w:t>
      </w:r>
    </w:p>
    <w:p w14:paraId="73D17409" w14:textId="54D1AF7C" w:rsidR="002E26C4" w:rsidRPr="00514293" w:rsidRDefault="002E26C4" w:rsidP="00B543ED">
      <w:pPr>
        <w:pStyle w:val="NormalWeb"/>
        <w:spacing w:before="0" w:beforeAutospacing="0" w:after="0" w:afterAutospacing="0"/>
        <w:ind w:left="720"/>
        <w:jc w:val="both"/>
        <w:rPr>
          <w:b/>
          <w:i/>
          <w:color w:val="000000"/>
        </w:rPr>
      </w:pPr>
      <w:r w:rsidRPr="00514293">
        <w:rPr>
          <w:b/>
          <w:i/>
          <w:color w:val="000000"/>
        </w:rPr>
        <w:t>3. When should a consolidated entity recognize a goodwill impairment loss?</w:t>
      </w:r>
    </w:p>
    <w:p w14:paraId="455D67E4" w14:textId="77777777" w:rsidR="002E26C4" w:rsidRPr="00514293" w:rsidRDefault="002E26C4" w:rsidP="00B543ED">
      <w:pPr>
        <w:pStyle w:val="NormalWeb"/>
        <w:numPr>
          <w:ilvl w:val="0"/>
          <w:numId w:val="4"/>
        </w:numPr>
        <w:tabs>
          <w:tab w:val="clear" w:pos="720"/>
          <w:tab w:val="num" w:pos="1440"/>
        </w:tabs>
        <w:spacing w:before="0" w:beforeAutospacing="0" w:after="0" w:afterAutospacing="0"/>
        <w:ind w:left="360"/>
        <w:jc w:val="both"/>
        <w:rPr>
          <w:b/>
          <w:i/>
          <w:color w:val="000000"/>
        </w:rPr>
      </w:pPr>
      <w:r w:rsidRPr="00514293">
        <w:rPr>
          <w:b/>
          <w:i/>
          <w:color w:val="000000"/>
        </w:rPr>
        <w:t>If both the fair value of a reporting unit and its associated implied goodwill fall below their respective carrying amounts.</w:t>
      </w:r>
    </w:p>
    <w:p w14:paraId="2B6781F4" w14:textId="77777777" w:rsidR="002E26C4" w:rsidRPr="00514293" w:rsidRDefault="002E26C4" w:rsidP="00B543ED">
      <w:pPr>
        <w:pStyle w:val="NormalWeb"/>
        <w:numPr>
          <w:ilvl w:val="0"/>
          <w:numId w:val="4"/>
        </w:numPr>
        <w:tabs>
          <w:tab w:val="clear" w:pos="720"/>
          <w:tab w:val="num" w:pos="1440"/>
        </w:tabs>
        <w:spacing w:before="0" w:beforeAutospacing="0" w:after="0" w:afterAutospacing="0"/>
        <w:ind w:left="360"/>
        <w:jc w:val="both"/>
        <w:rPr>
          <w:b/>
          <w:i/>
          <w:color w:val="000000"/>
        </w:rPr>
      </w:pPr>
      <w:r w:rsidRPr="00514293">
        <w:rPr>
          <w:b/>
          <w:i/>
          <w:color w:val="000000"/>
        </w:rPr>
        <w:t>Whenever the entity’s fair value declines significantly.</w:t>
      </w:r>
    </w:p>
    <w:p w14:paraId="3CF1253D" w14:textId="77777777" w:rsidR="002E26C4" w:rsidRPr="00514293" w:rsidRDefault="002E26C4" w:rsidP="00B543ED">
      <w:pPr>
        <w:pStyle w:val="NormalWeb"/>
        <w:numPr>
          <w:ilvl w:val="0"/>
          <w:numId w:val="4"/>
        </w:numPr>
        <w:tabs>
          <w:tab w:val="clear" w:pos="720"/>
          <w:tab w:val="num" w:pos="1440"/>
        </w:tabs>
        <w:spacing w:before="0" w:beforeAutospacing="0" w:after="0" w:afterAutospacing="0"/>
        <w:ind w:left="360"/>
        <w:jc w:val="both"/>
        <w:rPr>
          <w:b/>
          <w:i/>
          <w:color w:val="000000"/>
        </w:rPr>
      </w:pPr>
      <w:r w:rsidRPr="00514293">
        <w:rPr>
          <w:b/>
          <w:i/>
          <w:color w:val="000000"/>
        </w:rPr>
        <w:t>If the fair value of a reporting unit with goodwill fall below its carrying amount.</w:t>
      </w:r>
    </w:p>
    <w:p w14:paraId="025ADCC3" w14:textId="79C8C5D8" w:rsidR="009745B1" w:rsidRDefault="002E26C4" w:rsidP="00B543ED">
      <w:pPr>
        <w:pStyle w:val="NormalWeb"/>
        <w:numPr>
          <w:ilvl w:val="0"/>
          <w:numId w:val="4"/>
        </w:numPr>
        <w:tabs>
          <w:tab w:val="clear" w:pos="720"/>
          <w:tab w:val="num" w:pos="1440"/>
        </w:tabs>
        <w:spacing w:before="0" w:beforeAutospacing="0" w:after="0" w:afterAutospacing="0"/>
        <w:ind w:left="360"/>
        <w:jc w:val="both"/>
        <w:rPr>
          <w:b/>
          <w:i/>
          <w:color w:val="000000"/>
        </w:rPr>
      </w:pPr>
      <w:r w:rsidRPr="00514293">
        <w:rPr>
          <w:b/>
          <w:i/>
          <w:color w:val="000000"/>
        </w:rPr>
        <w:t>Annually on a systematic and rational basis</w:t>
      </w:r>
    </w:p>
    <w:p w14:paraId="265AED93" w14:textId="77777777" w:rsidR="003E0786" w:rsidRDefault="003E0786" w:rsidP="00B543ED">
      <w:pPr>
        <w:pStyle w:val="NormalWeb"/>
        <w:spacing w:before="0" w:beforeAutospacing="0" w:after="0" w:afterAutospacing="0"/>
        <w:jc w:val="both"/>
        <w:rPr>
          <w:b/>
          <w:i/>
          <w:color w:val="000000"/>
        </w:rPr>
      </w:pPr>
    </w:p>
    <w:p w14:paraId="6B12CEB8" w14:textId="25F95256" w:rsidR="00B543ED" w:rsidRDefault="00B543ED" w:rsidP="00B543ED">
      <w:pPr>
        <w:pStyle w:val="NormalWeb"/>
        <w:spacing w:before="0" w:beforeAutospacing="0" w:after="0" w:afterAutospacing="0" w:line="276" w:lineRule="auto"/>
        <w:jc w:val="both"/>
        <w:rPr>
          <w:color w:val="000000"/>
        </w:rPr>
      </w:pPr>
      <w:r>
        <w:rPr>
          <w:color w:val="000000"/>
        </w:rPr>
        <w:t>Answer: A</w:t>
      </w:r>
    </w:p>
    <w:p w14:paraId="525369E0" w14:textId="77777777" w:rsidR="00B543ED" w:rsidRDefault="00B543ED" w:rsidP="00B543ED">
      <w:pPr>
        <w:pStyle w:val="NormalWeb"/>
        <w:spacing w:before="0" w:beforeAutospacing="0" w:after="0" w:afterAutospacing="0" w:line="276" w:lineRule="auto"/>
        <w:jc w:val="both"/>
        <w:rPr>
          <w:color w:val="000000"/>
        </w:rPr>
      </w:pPr>
    </w:p>
    <w:p w14:paraId="2C3BACA1" w14:textId="68D87027" w:rsidR="00BE551E" w:rsidRPr="00BE551E" w:rsidRDefault="003E0786" w:rsidP="00B543ED">
      <w:pPr>
        <w:pStyle w:val="NormalWeb"/>
        <w:spacing w:before="0" w:beforeAutospacing="0" w:after="0" w:afterAutospacing="0" w:line="276" w:lineRule="auto"/>
        <w:jc w:val="both"/>
        <w:rPr>
          <w:color w:val="000000"/>
        </w:rPr>
      </w:pPr>
      <w:r w:rsidRPr="004319F4">
        <w:rPr>
          <w:color w:val="000000"/>
        </w:rPr>
        <w:t xml:space="preserve">Goodwill </w:t>
      </w:r>
      <w:r w:rsidR="004319F4" w:rsidRPr="004319F4">
        <w:rPr>
          <w:color w:val="000000"/>
        </w:rPr>
        <w:t>impairment</w:t>
      </w:r>
      <w:r w:rsidRPr="004319F4">
        <w:rPr>
          <w:color w:val="000000"/>
        </w:rPr>
        <w:t xml:space="preserve"> value is experienced when a certain firm pays for an item more than its value. If the value of the paid item falls, the companies </w:t>
      </w:r>
      <w:r w:rsidR="004319F4" w:rsidRPr="004319F4">
        <w:rPr>
          <w:color w:val="000000"/>
        </w:rPr>
        <w:t>experiences</w:t>
      </w:r>
      <w:r w:rsidRPr="004319F4">
        <w:rPr>
          <w:color w:val="000000"/>
        </w:rPr>
        <w:t xml:space="preserve"> goodwill </w:t>
      </w:r>
      <w:r w:rsidR="004319F4" w:rsidRPr="004319F4">
        <w:rPr>
          <w:color w:val="000000"/>
        </w:rPr>
        <w:t>impairment</w:t>
      </w:r>
      <w:r w:rsidRPr="004319F4">
        <w:rPr>
          <w:color w:val="000000"/>
        </w:rPr>
        <w:t xml:space="preserve"> loss. An entity can recognize a goodwill </w:t>
      </w:r>
      <w:r w:rsidR="004319F4" w:rsidRPr="004319F4">
        <w:rPr>
          <w:color w:val="000000"/>
        </w:rPr>
        <w:t>impairment</w:t>
      </w:r>
      <w:r w:rsidRPr="004319F4">
        <w:rPr>
          <w:color w:val="000000"/>
        </w:rPr>
        <w:t xml:space="preserve"> loss by comparing the fair value to the carrying value. If the fair value exceeds the carrying value, the entity will realize no goodwill </w:t>
      </w:r>
      <w:r w:rsidR="004319F4" w:rsidRPr="004319F4">
        <w:rPr>
          <w:color w:val="000000"/>
        </w:rPr>
        <w:t>impairment</w:t>
      </w:r>
      <w:r w:rsidRPr="004319F4">
        <w:rPr>
          <w:color w:val="000000"/>
        </w:rPr>
        <w:t xml:space="preserve"> loss. On the other hand, if the carrying value </w:t>
      </w:r>
      <w:r w:rsidR="004319F4" w:rsidRPr="004319F4">
        <w:rPr>
          <w:color w:val="000000"/>
        </w:rPr>
        <w:t>surpasses the</w:t>
      </w:r>
      <w:r w:rsidRPr="004319F4">
        <w:rPr>
          <w:color w:val="000000"/>
        </w:rPr>
        <w:t xml:space="preserve"> fair value, the firm will have to move further to compare </w:t>
      </w:r>
      <w:r w:rsidR="004319F4" w:rsidRPr="004319F4">
        <w:rPr>
          <w:color w:val="000000"/>
        </w:rPr>
        <w:t xml:space="preserve">it </w:t>
      </w:r>
      <w:r w:rsidRPr="004319F4">
        <w:rPr>
          <w:color w:val="000000"/>
        </w:rPr>
        <w:t>to implied value.</w:t>
      </w:r>
      <w:r w:rsidR="004319F4" w:rsidRPr="004319F4">
        <w:rPr>
          <w:color w:val="000000"/>
        </w:rPr>
        <w:t xml:space="preserve"> In this case, if the carrying value exceeds the implied value, goodwill impairment loss will be recognized. Therefore, it is correct to say that, a consolidated entity recognizes a goodwill impairment loss, if both the fair value of a reporting unit and its associated implied goodwill fall below their respective carrying amounts. Hence, the correct answer is a.</w:t>
      </w:r>
    </w:p>
    <w:sectPr w:rsidR="00BE551E" w:rsidRPr="00BE55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3663A"/>
    <w:multiLevelType w:val="multilevel"/>
    <w:tmpl w:val="03E26D1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20731B45"/>
    <w:multiLevelType w:val="hybridMultilevel"/>
    <w:tmpl w:val="9A7AE40A"/>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4AC77DE2"/>
    <w:multiLevelType w:val="hybridMultilevel"/>
    <w:tmpl w:val="39A4ABF2"/>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15:restartNumberingAfterBreak="0">
    <w:nsid w:val="53715F52"/>
    <w:multiLevelType w:val="hybridMultilevel"/>
    <w:tmpl w:val="8AD6BA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4AD7"/>
    <w:rsid w:val="00054AC7"/>
    <w:rsid w:val="00184AD7"/>
    <w:rsid w:val="002E26C4"/>
    <w:rsid w:val="00373E68"/>
    <w:rsid w:val="003A4FA0"/>
    <w:rsid w:val="003E0786"/>
    <w:rsid w:val="00423E0A"/>
    <w:rsid w:val="004319F4"/>
    <w:rsid w:val="00436DE9"/>
    <w:rsid w:val="004643D6"/>
    <w:rsid w:val="00514293"/>
    <w:rsid w:val="006F311B"/>
    <w:rsid w:val="00703F87"/>
    <w:rsid w:val="00800C55"/>
    <w:rsid w:val="00806C72"/>
    <w:rsid w:val="009745B1"/>
    <w:rsid w:val="00AD6169"/>
    <w:rsid w:val="00B04F3A"/>
    <w:rsid w:val="00B543ED"/>
    <w:rsid w:val="00B90B73"/>
    <w:rsid w:val="00BE551E"/>
    <w:rsid w:val="00C01B5C"/>
    <w:rsid w:val="00C53577"/>
    <w:rsid w:val="00C70D02"/>
    <w:rsid w:val="00CD03F3"/>
    <w:rsid w:val="00D04310"/>
    <w:rsid w:val="00DF0FC4"/>
    <w:rsid w:val="00EC53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0B1388"/>
  <w15:chartTrackingRefBased/>
  <w15:docId w15:val="{1749EF49-880F-4F16-8BB9-448AB7E29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311B"/>
    <w:pPr>
      <w:ind w:left="720"/>
      <w:contextualSpacing/>
    </w:pPr>
  </w:style>
  <w:style w:type="paragraph" w:styleId="NormalWeb">
    <w:name w:val="Normal (Web)"/>
    <w:basedOn w:val="Normal"/>
    <w:uiPriority w:val="99"/>
    <w:unhideWhenUsed/>
    <w:rsid w:val="002E26C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790061">
      <w:bodyDiv w:val="1"/>
      <w:marLeft w:val="0"/>
      <w:marRight w:val="0"/>
      <w:marTop w:val="0"/>
      <w:marBottom w:val="0"/>
      <w:divBdr>
        <w:top w:val="none" w:sz="0" w:space="0" w:color="auto"/>
        <w:left w:val="none" w:sz="0" w:space="0" w:color="auto"/>
        <w:bottom w:val="none" w:sz="0" w:space="0" w:color="auto"/>
        <w:right w:val="none" w:sz="0" w:space="0" w:color="auto"/>
      </w:divBdr>
      <w:divsChild>
        <w:div w:id="360861661">
          <w:marLeft w:val="0"/>
          <w:marRight w:val="0"/>
          <w:marTop w:val="0"/>
          <w:marBottom w:val="0"/>
          <w:divBdr>
            <w:top w:val="none" w:sz="0" w:space="0" w:color="auto"/>
            <w:left w:val="none" w:sz="0" w:space="0" w:color="auto"/>
            <w:bottom w:val="none" w:sz="0" w:space="0" w:color="auto"/>
            <w:right w:val="none" w:sz="0" w:space="0" w:color="auto"/>
          </w:divBdr>
          <w:divsChild>
            <w:div w:id="1242519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3265892">
      <w:bodyDiv w:val="1"/>
      <w:marLeft w:val="0"/>
      <w:marRight w:val="0"/>
      <w:marTop w:val="0"/>
      <w:marBottom w:val="0"/>
      <w:divBdr>
        <w:top w:val="none" w:sz="0" w:space="0" w:color="auto"/>
        <w:left w:val="none" w:sz="0" w:space="0" w:color="auto"/>
        <w:bottom w:val="none" w:sz="0" w:space="0" w:color="auto"/>
        <w:right w:val="none" w:sz="0" w:space="0" w:color="auto"/>
      </w:divBdr>
      <w:divsChild>
        <w:div w:id="1381050621">
          <w:marLeft w:val="0"/>
          <w:marRight w:val="0"/>
          <w:marTop w:val="0"/>
          <w:marBottom w:val="0"/>
          <w:divBdr>
            <w:top w:val="none" w:sz="0" w:space="0" w:color="auto"/>
            <w:left w:val="none" w:sz="0" w:space="0" w:color="auto"/>
            <w:bottom w:val="none" w:sz="0" w:space="0" w:color="auto"/>
            <w:right w:val="none" w:sz="0" w:space="0" w:color="auto"/>
          </w:divBdr>
          <w:divsChild>
            <w:div w:id="67773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694240">
      <w:bodyDiv w:val="1"/>
      <w:marLeft w:val="0"/>
      <w:marRight w:val="0"/>
      <w:marTop w:val="0"/>
      <w:marBottom w:val="0"/>
      <w:divBdr>
        <w:top w:val="none" w:sz="0" w:space="0" w:color="auto"/>
        <w:left w:val="none" w:sz="0" w:space="0" w:color="auto"/>
        <w:bottom w:val="none" w:sz="0" w:space="0" w:color="auto"/>
        <w:right w:val="none" w:sz="0" w:space="0" w:color="auto"/>
      </w:divBdr>
      <w:divsChild>
        <w:div w:id="1638684729">
          <w:marLeft w:val="0"/>
          <w:marRight w:val="0"/>
          <w:marTop w:val="0"/>
          <w:marBottom w:val="0"/>
          <w:divBdr>
            <w:top w:val="none" w:sz="0" w:space="0" w:color="auto"/>
            <w:left w:val="none" w:sz="0" w:space="0" w:color="auto"/>
            <w:bottom w:val="none" w:sz="0" w:space="0" w:color="auto"/>
            <w:right w:val="none" w:sz="0" w:space="0" w:color="auto"/>
          </w:divBdr>
          <w:divsChild>
            <w:div w:id="1640920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150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590</Words>
  <Characters>3366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janota</dc:creator>
  <cp:keywords/>
  <dc:description/>
  <cp:lastModifiedBy>user</cp:lastModifiedBy>
  <cp:revision>2</cp:revision>
  <dcterms:created xsi:type="dcterms:W3CDTF">2020-02-26T19:38:00Z</dcterms:created>
  <dcterms:modified xsi:type="dcterms:W3CDTF">2020-02-26T19:38:00Z</dcterms:modified>
</cp:coreProperties>
</file>